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Name"/>
        <w:jc w:val="center"/>
      </w:pPr>
      <w:r>
        <w:t xml:space="preserve">MD. MAZHARUL ANWAR</w:t>
      </w:r>
    </w:p>
    <w:p>
      <w:pPr>
        <w:pStyle w:val="ContactInfo"/>
        <w:jc w:val="center"/>
      </w:pPr>
      <w:r>
        <w:t xml:space="preserve">Sydney, Australia | (+61) 490 183 756 | me@mazharulanwar.com | </w:t>
      </w:r>
      <w:hyperlink w:history="1" r:id="rIdj_jv9oyxvvtvro88_lze4">
        <w:r>
          <w:rPr>
            <w:color w:val="0563C1"/>
            <w:u w:val="single"/>
          </w:rPr>
          <w:t xml:space="preserve">LinkedIn</w:t>
        </w:r>
      </w:hyperlink>
    </w:p>
    <w:p>
      <w:pPr>
        <w:pStyle w:val="SectionHeader"/>
      </w:pPr>
      <w:r>
        <w:t xml:space="preserve">Executive Summary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Engineering leader who builds leverage, not heroics. </w:t>
      </w:r>
      <w:r>
        <w:rPr>
          <w:rFonts w:ascii="Arial" w:cs="Arial" w:eastAsia="Arial" w:hAnsi="Arial"/>
          <w:sz w:val="22"/>
          <w:szCs w:val="22"/>
        </w:rPr>
        <w:t xml:space="preserve">15+ years leading engineering teams through scale, transformation, and technical complexity. Deep expertise in platform engineering, but equally comfortable owning product delivery, architecture governance, and organisational growth.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Current scope: Head of Engineering managing 50+ permanent engineers across Sydney and Malaysia, plus offshore contractors. Full accountability for technical strategy, architecture decisions, security posture, delivery, and cloud spend optimisation.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Track record: Scaled engineering org 5x while cutting cloud costs 50% year one, 30% more year two. Built self-service platform capabilities that eliminated ops dependencies and improved incident detection 10x. Led digital transformation of 60-year-old auction house from brick-and-mortar to fully digital operations. Architecture governance and risk ownership across regulated and high-growth environments.</w:t>
      </w:r>
    </w:p>
    <w:p>
      <w:pPr>
        <w:pStyle w:val="SectionHeader"/>
      </w:pPr>
      <w:r>
        <w:t xml:space="preserve">Leadership &amp; Strategy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Engineering Leadership  •  Distributed Systems  •  Platform Engineering  •  Architecture Governance  •  Risk &amp; Compliance  •  Executive Stakeholder Management</w:t>
      </w:r>
    </w:p>
    <w:p>
      <w:pPr>
        <w:pStyle w:val="SectionHeader"/>
      </w:pPr>
      <w:r>
        <w:t xml:space="preserve">Professional Experience</w:t>
      </w:r>
    </w:p>
    <w:p>
      <w:pPr>
        <w:pStyle w:val="CompanyHeader"/>
      </w:pPr>
      <w:r>
        <w:t xml:space="preserve">PICKLES AUCTIONS</w:t>
      </w:r>
      <w:r>
        <w:rPr>
          <w:b w:val="false"/>
          <w:bCs w:val="false"/>
        </w:rPr>
        <w:t xml:space="preserve"> | Sydney, Australia</w:t>
      </w:r>
    </w:p>
    <w:p>
      <w:pPr>
        <w:pStyle w:val="RoleTitle"/>
      </w:pPr>
      <w:r>
        <w:t xml:space="preserve">Head of Engineering - Digital</w:t>
      </w:r>
      <w:r>
        <w:rPr>
          <w:i w:val="false"/>
          <w:iCs w:val="false"/>
        </w:rPr>
        <w:t xml:space="preserve"> (Jul 2022 - Present)</w:t>
      </w:r>
    </w:p>
    <w:p>
      <w:pPr>
        <w:pStyle w:val="RoleTitle"/>
      </w:pPr>
      <w:r>
        <w:t xml:space="preserve">Group Technology Manager</w:t>
      </w:r>
      <w:r>
        <w:rPr>
          <w:i w:val="false"/>
          <w:iCs w:val="false"/>
        </w:rPr>
        <w:t xml:space="preserve"> (Mar 2021 - Jun 2022)</w:t>
      </w:r>
    </w:p>
    <w:p>
      <w:pPr>
        <w:pStyle w:val="BulletText"/>
      </w:pPr>
      <w:r>
        <w:rPr>
          <w:rFonts w:ascii="Arial" w:cs="Arial" w:eastAsia="Arial" w:hAnsi="Arial"/>
          <w:sz w:val="22"/>
          <w:szCs w:val="22"/>
        </w:rPr>
        <w:t xml:space="preserve">• Accountable for Malaysia Engineering Centre of Excellence; manage 50+ permanent engineers across Sydney and Malaysia plus 10-20 offshore contractors. Grew MY CoE 5x over 3 years. Reduced organisation-wide cloud costs by 50% in year one, additional 30% in year two.</w:t>
      </w:r>
    </w:p>
    <w:p>
      <w:pPr>
        <w:pStyle w:val="BulletText"/>
      </w:pPr>
      <w:r>
        <w:rPr>
          <w:rFonts w:ascii="Arial" w:cs="Arial" w:eastAsia="Arial" w:hAnsi="Arial"/>
          <w:sz w:val="22"/>
          <w:szCs w:val="22"/>
        </w:rPr>
        <w:t xml:space="preserve">• Owned platform engineering transformation: Eliminated reliance on specialised application ops through self-service tooling, IaC, SRE practices, and observability platforms. Result: 10x faster incident detection, 50% reduction in technical debt.</w:t>
      </w:r>
    </w:p>
    <w:p>
      <w:pPr>
        <w:pStyle w:val="BulletText"/>
      </w:pPr>
      <w:r>
        <w:rPr>
          <w:rFonts w:ascii="Arial" w:cs="Arial" w:eastAsia="Arial" w:hAnsi="Arial"/>
          <w:sz w:val="22"/>
          <w:szCs w:val="22"/>
        </w:rPr>
        <w:t xml:space="preserve">• Architecture governance and risk ownership: Final decision-maker for technology choices, security trade-offs, and compliance readiness across all digital products. Regular reporting to executive steering committee on technical risk posture.</w:t>
      </w:r>
    </w:p>
    <w:p>
      <w:pPr>
        <w:pStyle w:val="BulletText"/>
      </w:pPr>
      <w:r>
        <w:rPr>
          <w:rFonts w:ascii="Arial" w:cs="Arial" w:eastAsia="Arial" w:hAnsi="Arial"/>
          <w:sz w:val="22"/>
          <w:szCs w:val="22"/>
        </w:rPr>
        <w:t xml:space="preserve">• Venture CTO accountability: Full technical ownership of Pickles Malaysia digital products and Carzapp mobile ecosystem - architecture, delivery, reliability, and cost.</w:t>
      </w:r>
    </w:p>
    <w:p>
      <w:pPr>
        <w:pStyle w:val="BulletText"/>
      </w:pPr>
      <w:r>
        <w:rPr>
          <w:rFonts w:ascii="Arial" w:cs="Arial" w:eastAsia="Arial" w:hAnsi="Arial"/>
          <w:sz w:val="22"/>
          <w:szCs w:val="22"/>
        </w:rPr>
        <w:t xml:space="preserve">• Led digital transformation of 60-year-old brick-and-mortar auction house: centralised operations, digitised end-to-end auction workflows, and enabled data-driven decision making across the organisation. D365 integration was one component of broader transformation.</w:t>
      </w:r>
    </w:p>
    <w:p>
      <w:pPr>
        <w:pStyle w:val="CompanyHeader"/>
      </w:pPr>
      <w:r>
        <w:t xml:space="preserve">PETRONAS</w:t>
      </w:r>
      <w:r>
        <w:rPr>
          <w:b w:val="false"/>
          <w:bCs w:val="false"/>
        </w:rPr>
        <w:t xml:space="preserve"> | Kuala Lumpur</w:t>
      </w:r>
    </w:p>
    <w:p>
      <w:pPr>
        <w:pStyle w:val="RoleTitle"/>
      </w:pPr>
      <w:r>
        <w:t xml:space="preserve">Head of Solutions Architecture</w:t>
      </w:r>
      <w:r>
        <w:rPr>
          <w:i w:val="false"/>
          <w:iCs w:val="false"/>
        </w:rPr>
        <w:t xml:space="preserve"> (Oct 2018 - Feb 2021)</w:t>
      </w:r>
    </w:p>
    <w:p>
      <w:pPr>
        <w:pStyle w:val="BulletText"/>
      </w:pPr>
      <w:r>
        <w:rPr>
          <w:rFonts w:ascii="Arial" w:cs="Arial" w:eastAsia="Arial" w:hAnsi="Arial"/>
          <w:sz w:val="22"/>
          <w:szCs w:val="22"/>
        </w:rPr>
        <w:t xml:space="preserve">• Built revolutionary mobile petrol station concept from zero to production: RovR brought the petrol station to the customer, delivering fuel on-demand to fleet and retail customers. Owned technical vision, architecture, and delivery for this first-of-kind digital fuel platform.</w:t>
      </w:r>
    </w:p>
    <w:p>
      <w:pPr>
        <w:pStyle w:val="BulletText"/>
      </w:pPr>
      <w:r>
        <w:rPr>
          <w:rFonts w:ascii="Arial" w:cs="Arial" w:eastAsia="Arial" w:hAnsi="Arial"/>
          <w:sz w:val="22"/>
          <w:szCs w:val="22"/>
        </w:rPr>
        <w:t xml:space="preserve">• Directed multiple development teams through full product lifecycle in regulated environment: scope definition, technical standards, compliance requirements, and quality gates.</w:t>
      </w:r>
    </w:p>
    <w:p>
      <w:pPr>
        <w:pStyle w:val="BulletText"/>
      </w:pPr>
      <w:r>
        <w:rPr>
          <w:rFonts w:ascii="Arial" w:cs="Arial" w:eastAsia="Arial" w:hAnsi="Arial"/>
          <w:sz w:val="22"/>
          <w:szCs w:val="22"/>
        </w:rPr>
        <w:t xml:space="preserve">• Executive stakeholder interface: Translated novel product concept into technical strategy for leadership. Built engineering culture around CI/CD automation and sustainable delivery practices.</w:t>
      </w:r>
    </w:p>
    <w:p>
      <w:pPr>
        <w:pStyle w:val="CompanyHeader"/>
      </w:pPr>
      <w:r>
        <w:t xml:space="preserve">MAXIS</w:t>
      </w:r>
      <w:r>
        <w:rPr>
          <w:b w:val="false"/>
          <w:bCs w:val="false"/>
        </w:rPr>
        <w:t xml:space="preserve"> | Kuala Lumpur</w:t>
      </w:r>
    </w:p>
    <w:p>
      <w:pPr>
        <w:pStyle w:val="RoleTitle"/>
      </w:pPr>
      <w:r>
        <w:t xml:space="preserve">Senior Specialist, Digital Platform</w:t>
      </w:r>
      <w:r>
        <w:rPr>
          <w:i w:val="false"/>
          <w:iCs w:val="false"/>
        </w:rPr>
        <w:t xml:space="preserve"> (May 2018 - Sep 2018)</w:t>
      </w:r>
    </w:p>
    <w:p>
      <w:pPr>
        <w:pStyle w:val="BulletText"/>
      </w:pPr>
      <w:r>
        <w:rPr>
          <w:rFonts w:ascii="Arial" w:cs="Arial" w:eastAsia="Arial" w:hAnsi="Arial"/>
          <w:sz w:val="22"/>
          <w:szCs w:val="22"/>
        </w:rPr>
        <w:t xml:space="preserve">• Technical leadership for Ookyo digital product: cross-functional team coordination, system design, and roadmap-to-delivery translation.</w:t>
      </w:r>
    </w:p>
    <w:p>
      <w:pPr>
        <w:pStyle w:val="CompanyHeader"/>
      </w:pPr>
      <w:r>
        <w:t xml:space="preserve">SEEK (JobStreet)</w:t>
      </w:r>
      <w:r>
        <w:rPr>
          <w:b w:val="false"/>
          <w:bCs w:val="false"/>
        </w:rPr>
        <w:t xml:space="preserve"> | Kuala Lumpur</w:t>
      </w:r>
    </w:p>
    <w:p>
      <w:pPr>
        <w:pStyle w:val="RoleTitle"/>
      </w:pPr>
      <w:r>
        <w:t xml:space="preserve">Technical Lead</w:t>
      </w:r>
      <w:r>
        <w:rPr>
          <w:i w:val="false"/>
          <w:iCs w:val="false"/>
        </w:rPr>
        <w:t xml:space="preserve"> (Jun 2016 - Apr 2018)</w:t>
      </w:r>
    </w:p>
    <w:p>
      <w:pPr>
        <w:pStyle w:val="RoleTitle"/>
      </w:pPr>
      <w:r>
        <w:t xml:space="preserve">Specialist, Software Engineer</w:t>
      </w:r>
      <w:r>
        <w:rPr>
          <w:i w:val="false"/>
          <w:iCs w:val="false"/>
        </w:rPr>
        <w:t xml:space="preserve"> (Mar 2015 - Jun 2016)</w:t>
      </w:r>
    </w:p>
    <w:p>
      <w:pPr>
        <w:pStyle w:val="BulletText"/>
      </w:pPr>
      <w:r>
        <w:rPr>
          <w:rFonts w:ascii="Arial" w:cs="Arial" w:eastAsia="Arial" w:hAnsi="Arial"/>
          <w:sz w:val="22"/>
          <w:szCs w:val="22"/>
        </w:rPr>
        <w:t xml:space="preserve">• Built monitoring and alerting infrastructure using ELK stack. Designed high-availability systems across multiple datacentres for JobStreet Business Operating Systems (Southeast Asia).</w:t>
      </w:r>
    </w:p>
    <w:p>
      <w:pPr>
        <w:pStyle w:val="BulletText"/>
      </w:pPr>
      <w:r>
        <w:rPr>
          <w:rFonts w:ascii="Arial" w:cs="Arial" w:eastAsia="Arial" w:hAnsi="Arial"/>
          <w:sz w:val="22"/>
          <w:szCs w:val="22"/>
        </w:rPr>
        <w:t xml:space="preserve">• Microservices platform ownership: containerisation, API governance, and coding standards for SeekAsia services.</w:t>
      </w:r>
    </w:p>
    <w:p>
      <w:pPr>
        <w:pStyle w:val="CompanyHeader"/>
      </w:pPr>
      <w:r>
        <w:t xml:space="preserve">Earlier Experience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Lead Application Developer at Integricity Technology (2014). Senior Developer roles at VLT Kuala Lumpur and Integricity Technology (2009-2013).</w:t>
      </w:r>
    </w:p>
    <w:p>
      <w:pPr>
        <w:pStyle w:val="SectionHeader"/>
      </w:pPr>
      <w:r>
        <w:t xml:space="preserve">Education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Bachelor of Science (Hons), Information Technology - Universiti Utara Malaysia, 2013</w:t>
      </w:r>
    </w:p>
    <w:p>
      <w:pPr>
        <w:pStyle w:val="SectionHeader"/>
      </w:pPr>
      <w:r>
        <w:t xml:space="preserve">Technical Expertise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Platform &amp; Infrastructure: </w:t>
      </w:r>
      <w:r>
        <w:rPr>
          <w:rFonts w:ascii="Arial" w:cs="Arial" w:eastAsia="Arial" w:hAnsi="Arial"/>
          <w:sz w:val="22"/>
          <w:szCs w:val="22"/>
        </w:rPr>
        <w:t xml:space="preserve">Kubernetes, Terraform, CI/CD (Azure DevOps, GitHub Actions), Observability (Dynatrace, Datadog, ELK, Prometheus), SRE practices, Service Mesh, Infrastructure as Code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Cloud: </w:t>
      </w:r>
      <w:r>
        <w:rPr>
          <w:rFonts w:ascii="Arial" w:cs="Arial" w:eastAsia="Arial" w:hAnsi="Arial"/>
          <w:sz w:val="22"/>
          <w:szCs w:val="22"/>
        </w:rPr>
        <w:t xml:space="preserve">Azure (App Services, AKS, Functions, Cosmos DB, Service Bus, DevOps), AWS (Lambda, DynamoDB, SQS/SNS, ECS, S3)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Architecture: </w:t>
      </w:r>
      <w:r>
        <w:rPr>
          <w:rFonts w:ascii="Arial" w:cs="Arial" w:eastAsia="Arial" w:hAnsi="Arial"/>
          <w:sz w:val="22"/>
          <w:szCs w:val="22"/>
        </w:rPr>
        <w:t xml:space="preserve">Microservices, Event-Driven Architecture, Domain-Driven Design, Serverless, CQRS, Event Sourcing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Languages &amp; Frameworks: </w:t>
      </w:r>
      <w:r>
        <w:rPr>
          <w:rFonts w:ascii="Arial" w:cs="Arial" w:eastAsia="Arial" w:hAnsi="Arial"/>
          <w:sz w:val="22"/>
          <w:szCs w:val="22"/>
        </w:rPr>
        <w:t xml:space="preserve">Node.js/TypeScript (advanced), Go, Python, Rust, React, Angular, Flutter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Data &amp; Messaging: </w:t>
      </w:r>
      <w:r>
        <w:rPr>
          <w:rFonts w:ascii="Arial" w:cs="Arial" w:eastAsia="Arial" w:hAnsi="Arial"/>
          <w:sz w:val="22"/>
          <w:szCs w:val="22"/>
        </w:rPr>
        <w:t xml:space="preserve">Kafka, Cosmos DB, MSSQL, PostgreSQL, MySQL, Elasticsearch, Redis, RabbitMQ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ame">
    <w:name w:val="Name"/>
    <w:basedOn w:val="Normal"/>
    <w:pPr>
      <w:spacing w:after="60"/>
    </w:pPr>
    <w:rPr>
      <w:rFonts w:ascii="Arial" w:cs="Arial" w:eastAsia="Arial" w:hAnsi="Arial"/>
      <w:b/>
      <w:bCs/>
      <w:sz w:val="36"/>
      <w:szCs w:val="36"/>
    </w:rPr>
  </w:style>
  <w:style w:type="paragraph" w:styleId="ContactInfo">
    <w:name w:val="Contact Info"/>
    <w:basedOn w:val="Normal"/>
    <w:pPr>
      <w:spacing w:after="200"/>
    </w:pPr>
    <w:rPr>
      <w:rFonts w:ascii="Arial" w:cs="Arial" w:eastAsia="Arial" w:hAnsi="Arial"/>
      <w:sz w:val="20"/>
      <w:szCs w:val="20"/>
    </w:rPr>
  </w:style>
  <w:style w:type="paragraph" w:styleId="SectionHeader">
    <w:name w:val="Section Header"/>
    <w:basedOn w:val="Normal"/>
    <w:pPr>
      <w:pBdr>
        <w:bottom w:val="single" w:color="000000" w:sz="6"/>
      </w:pBdr>
      <w:spacing w:before="240" w:after="120"/>
    </w:pPr>
    <w:rPr>
      <w:rFonts w:ascii="Arial" w:cs="Arial" w:eastAsia="Arial" w:hAnsi="Arial"/>
      <w:b/>
      <w:bCs/>
      <w:caps/>
      <w:sz w:val="24"/>
      <w:szCs w:val="24"/>
    </w:rPr>
  </w:style>
  <w:style w:type="paragraph" w:styleId="CompanyHeader">
    <w:name w:val="Company Header"/>
    <w:basedOn w:val="Normal"/>
    <w:pPr>
      <w:spacing w:before="180" w:after="60"/>
    </w:pPr>
    <w:rPr>
      <w:rFonts w:ascii="Arial" w:cs="Arial" w:eastAsia="Arial" w:hAnsi="Arial"/>
      <w:b/>
      <w:bCs/>
      <w:sz w:val="22"/>
      <w:szCs w:val="22"/>
    </w:rPr>
  </w:style>
  <w:style w:type="paragraph" w:styleId="RoleTitle">
    <w:name w:val="Role Title"/>
    <w:basedOn w:val="Normal"/>
    <w:pPr>
      <w:spacing w:after="60"/>
    </w:pPr>
    <w:rPr>
      <w:rFonts w:ascii="Arial" w:cs="Arial" w:eastAsia="Arial" w:hAnsi="Arial"/>
      <w:i/>
      <w:iCs/>
      <w:sz w:val="22"/>
      <w:szCs w:val="22"/>
    </w:rPr>
  </w:style>
  <w:style w:type="paragraph" w:styleId="BulletText">
    <w:name w:val="Bullet Text"/>
    <w:basedOn w:val="Normal"/>
    <w:pPr>
      <w:spacing w:after="60"/>
      <w:ind w:left="360" w:hanging="360"/>
    </w:pPr>
    <w:rPr>
      <w:rFonts w:ascii="Arial" w:cs="Arial" w:eastAsia="Arial" w:hAnsi="Arial"/>
      <w:sz w:val="22"/>
      <w:szCs w:val="22"/>
    </w:rPr>
  </w:style>
  <w:style w:type="paragraph" w:styleId="SubBullet">
    <w:name w:val="Sub Bullet"/>
    <w:basedOn w:val="Normal"/>
    <w:pPr>
      <w:spacing w:after="60"/>
      <w:ind w:left="720" w:hanging="36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j_jv9oyxvvtvro88_lze4" Type="http://schemas.openxmlformats.org/officeDocument/2006/relationships/hyperlink" Target="https://www.linkedin.com/in/mazharul/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2026-01-06T13:14:42.891Z</dcterms:created>
  <dcterms:modified xsi:type="dcterms:W3CDTF">2026-01-06T13:14:42.892Z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